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781175" cy="1781175"/>
            <wp:effectExtent b="0" l="0" r="0" t="0"/>
            <wp:docPr descr="A blue and white striped logo&#10;&#10;Description automatically generated" id="962057419" name="image1.png"/>
            <a:graphic>
              <a:graphicData uri="http://schemas.openxmlformats.org/drawingml/2006/picture">
                <pic:pic>
                  <pic:nvPicPr>
                    <pic:cNvPr descr="A blue and white striped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d4f92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4f92"/>
          <w:sz w:val="42"/>
          <w:szCs w:val="42"/>
          <w:rtl w:val="0"/>
        </w:rPr>
        <w:t xml:space="preserve">École Secondaire Beaumont Composite High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d4f92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4f92"/>
          <w:sz w:val="42"/>
          <w:szCs w:val="42"/>
          <w:rtl w:val="0"/>
        </w:rPr>
        <w:t xml:space="preserve">School Council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d4f92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sz w:val="44"/>
          <w:szCs w:val="44"/>
          <w:rtl w:val="0"/>
        </w:rPr>
        <w:t xml:space="preserve">AGM AGENDA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Wednesday September 17, 2025 6:30pm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École Secondaire Beaumont Composite High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white"/>
          <w:rtl w:val="0"/>
        </w:rPr>
        <w:t xml:space="preserve">5417 43 Avenue, Beaumont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Approval of agenda,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Approval of May 2025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Correspondence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AGLC Casino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The next casino event has been moved up from the first quarter (Jan/Feb/Mar) of 2027 to the second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u w:val="single"/>
          <w:rtl w:val="0"/>
        </w:rPr>
        <w:t xml:space="preserve"> quarter (Apr/May/June) of 2026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in Camrose.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The exact dates of the group’s casino event will be determined by a computerized random draw in November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Treasurer Rep</w:t>
      </w:r>
      <w:r w:rsidDel="00000000" w:rsidR="00000000" w:rsidRPr="00000000">
        <w:rPr>
          <w:rFonts w:ascii="Arial" w:cs="Arial" w:eastAsia="Arial" w:hAnsi="Arial"/>
          <w:rtl w:val="0"/>
        </w:rPr>
        <w:t xml:space="preserve">ort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New Business: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Elections for Executive 2025-2026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spacing w:after="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President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spacing w:after="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Vice President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spacing w:after="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Secretary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spacing w:after="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Treasurer</w:t>
      </w:r>
    </w:p>
    <w:p w:rsidR="00000000" w:rsidDel="00000000" w:rsidP="00000000" w:rsidRDefault="00000000" w:rsidRPr="00000000" w14:paraId="0000001A">
      <w:pPr>
        <w:numPr>
          <w:ilvl w:val="3"/>
          <w:numId w:val="2"/>
        </w:numPr>
        <w:spacing w:after="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(Or Secretary-Treasurer)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spacing w:after="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Fundraising Director (1)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spacing w:after="0" w:lineRule="auto"/>
        <w:ind w:left="2160" w:hanging="18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Parent Representative (3)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spacing w:after="0" w:lineRule="auto"/>
        <w:ind w:left="2160" w:hanging="18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Community Representative (1)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Update Bank Signing Authority 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spacing w:after="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Remove 2024 executive 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spacing w:after="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 2025 executive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Update AGLC contact list 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Approve 2024-2025 Audited Financials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Set 2025-2026 Meeting Dates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0" w:lineRule="auto"/>
        <w:ind w:left="1440" w:hanging="360"/>
        <w:rPr>
          <w:rFonts w:ascii="Arial" w:cs="Arial" w:eastAsia="Arial" w:hAnsi="Arial"/>
          <w:u w:val="non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Insurance Renewal 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- due September 19, 2025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Old Business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Proposed Amendments to Operating Procedures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ASCA learning opportunities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to review and revise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hd w:fill="ffffff" w:val="clear"/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 of next meeting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Adjournment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C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221D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221D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221D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221D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221D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221D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221D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221D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221D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221D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221D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221D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C221D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C221D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221D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221D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221D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221D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221D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221D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221D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albertaschoolcouncils.ca/public/download/files/270587" TargetMode="External"/><Relationship Id="rId9" Type="http://schemas.openxmlformats.org/officeDocument/2006/relationships/hyperlink" Target="https://drive.google.com/file/d/10Ky09aqnJzLGWrU8-LOFukPUyyW6BTlJ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yq4aYO9KlqO3U7nX-3QYYUV6Fvxc8EX6/edit?usp=sharing&amp;ouid=110475850704373078904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yr+esU09k5j3lxg1NBXrd5mL7A==">CgMxLjA4AHIhMUtnaWZHTDZoeDhCNUoxRmdoV3VpdjVMX2tHVVloaTNt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2024-09-23T18:44:00Z</dcterms:created>
  <dc:creator>Tasharaya Chehayeb</dc:creator>
</cp:coreProperties>
</file>